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316449</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Xiamen, China, October 09 – October 13</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RLM, BFD and CBD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5.7.2.3</w:t>
      </w:r>
      <w:bookmarkStart w:id="1" w:name="_GoBack"/>
      <w:bookmarkEnd w:id="1"/>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recent RAN plenary 100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NOTEs related with L3 measurement delay.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spacing w:after="0"/>
              <w:rPr>
                <w:lang w:val="en-US"/>
              </w:rPr>
            </w:pPr>
            <w:r>
              <w:rPr>
                <w:lang w:val="en-US"/>
              </w:rPr>
              <w:t>Introduce necessary requirement(s) for enhanced FR2-1 UEs with simultaneous DL reception with two different QCL TypeD RSs on single component carrier with up to 4 layer DL MIMO</w:t>
            </w:r>
          </w:p>
          <w:p>
            <w:pPr>
              <w:numPr>
                <w:ilvl w:val="1"/>
                <w:numId w:val="5"/>
              </w:numPr>
              <w:spacing w:after="0"/>
              <w:rPr>
                <w:lang w:val="en-US"/>
              </w:rPr>
            </w:pPr>
            <w:r>
              <w:rPr>
                <w:rFonts w:hint="eastAsia"/>
                <w:lang w:val="en-US"/>
              </w:rPr>
              <w:t>Enhanced RF requirements:</w:t>
            </w:r>
          </w:p>
          <w:p>
            <w:pPr>
              <w:numPr>
                <w:ilvl w:val="2"/>
                <w:numId w:val="5"/>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5"/>
              </w:numPr>
              <w:spacing w:after="0"/>
              <w:rPr>
                <w:lang w:val="en-US"/>
              </w:rPr>
            </w:pPr>
            <w:r>
              <w:rPr>
                <w:lang w:val="en-US"/>
              </w:rPr>
              <w:t>The legacy spherical coverage requirement for reception from a single direction will be kept</w:t>
            </w:r>
          </w:p>
          <w:p>
            <w:pPr>
              <w:numPr>
                <w:ilvl w:val="2"/>
                <w:numId w:val="5"/>
              </w:numPr>
              <w:spacing w:after="0"/>
              <w:rPr>
                <w:lang w:val="en-US"/>
              </w:rPr>
            </w:pPr>
            <w:r>
              <w:rPr>
                <w:lang w:val="en-US"/>
              </w:rPr>
              <w:t>PC3 will be prioritized, other power classes should be considered after the PC3 requirements framework is finalized</w:t>
            </w:r>
          </w:p>
          <w:p>
            <w:pPr>
              <w:numPr>
                <w:ilvl w:val="0"/>
                <w:numId w:val="5"/>
              </w:numPr>
              <w:spacing w:after="0"/>
              <w:rPr>
                <w:lang w:val="en-US"/>
              </w:rPr>
            </w:pPr>
            <w:r>
              <w:rPr>
                <w:lang w:val="en-US"/>
              </w:rPr>
              <w:t>Introduce necessary requirement(s) for enhanced FR2-1 UEs with simultaneous DL reception from different directions with different QCL TypeD RSs on a single component carrier</w:t>
            </w:r>
          </w:p>
          <w:p>
            <w:pPr>
              <w:numPr>
                <w:ilvl w:val="1"/>
                <w:numId w:val="5"/>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5"/>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5"/>
              </w:numPr>
              <w:spacing w:after="0"/>
              <w:rPr>
                <w:lang w:val="en-US"/>
              </w:rPr>
            </w:pPr>
            <w:r>
              <w:rPr>
                <w:lang w:val="en-US"/>
              </w:rPr>
              <w:t>L1-RSRP measurement delay</w:t>
            </w:r>
          </w:p>
          <w:p>
            <w:pPr>
              <w:numPr>
                <w:ilvl w:val="3"/>
                <w:numId w:val="5"/>
              </w:numPr>
              <w:spacing w:after="0"/>
              <w:rPr>
                <w:lang w:val="en-US"/>
              </w:rPr>
            </w:pPr>
            <w:r>
              <w:rPr>
                <w:lang w:val="en-US"/>
              </w:rPr>
              <w:t>RLM and BFD/CBD requirements</w:t>
            </w:r>
          </w:p>
          <w:p>
            <w:pPr>
              <w:numPr>
                <w:ilvl w:val="3"/>
                <w:numId w:val="5"/>
              </w:numPr>
              <w:spacing w:after="0"/>
              <w:rPr>
                <w:lang w:val="en-US"/>
              </w:rPr>
            </w:pPr>
            <w:r>
              <w:rPr>
                <w:lang w:val="en-US"/>
              </w:rPr>
              <w:t>Scheduling/measurement restrictions</w:t>
            </w:r>
          </w:p>
          <w:p>
            <w:pPr>
              <w:numPr>
                <w:ilvl w:val="3"/>
                <w:numId w:val="5"/>
              </w:numPr>
              <w:spacing w:after="0"/>
              <w:rPr>
                <w:lang w:val="en-US"/>
              </w:rPr>
            </w:pPr>
            <w:r>
              <w:rPr>
                <w:lang w:val="en-US"/>
              </w:rPr>
              <w:t>TCI state switching delay with dual TCI</w:t>
            </w:r>
          </w:p>
          <w:p>
            <w:pPr>
              <w:numPr>
                <w:ilvl w:val="3"/>
                <w:numId w:val="5"/>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OTEs:</w:t>
            </w:r>
          </w:p>
          <w:p>
            <w:pPr>
              <w:numPr>
                <w:ilvl w:val="1"/>
                <w:numId w:val="5"/>
              </w:numPr>
              <w:spacing w:after="0"/>
              <w:rPr>
                <w:rFonts w:hint="eastAsia" w:eastAsia="宋体"/>
                <w:vertAlign w:val="baseline"/>
                <w:lang w:val="en-US" w:eastAsia="zh-CN"/>
              </w:rPr>
            </w:pPr>
            <w:r>
              <w:rPr>
                <w:rFonts w:hint="eastAsia"/>
                <w:lang w:val="en-US"/>
              </w:rPr>
              <w:t>T</w:t>
            </w:r>
            <w:r>
              <w:rPr>
                <w:lang w:val="en-US"/>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last meeting, Some discussion were held around the enhancement of RLM, BFD/CBD for the UE capable of simultaneous multi-panel reception and the achieved agreements were captured in [2]. While still some issues are suspending, in this paper, we provide some further analysis on RLM, BFD/CBD.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numPr>
                <w:ilvl w:val="0"/>
                <w:numId w:val="0"/>
              </w:numPr>
              <w:ind w:leftChars="0"/>
              <w:rPr>
                <w:sz w:val="24"/>
                <w:szCs w:val="24"/>
                <w:lang w:val="en-US"/>
              </w:rPr>
            </w:pPr>
            <w:r>
              <w:rPr>
                <w:sz w:val="24"/>
                <w:szCs w:val="24"/>
                <w:lang w:val="en-US"/>
              </w:rPr>
              <w:t>Sub-topic 2-1: Cell specific RLM and BFD/CBD</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2-1-2: Measurements on two RS resources simultaneously for cell specific RLM and BFD/CBD for multi-Rx</w:t>
            </w:r>
          </w:p>
          <w:p>
            <w:pPr>
              <w:pStyle w:val="28"/>
              <w:numPr>
                <w:ilvl w:val="0"/>
                <w:numId w:val="3"/>
              </w:numPr>
              <w:overflowPunct/>
              <w:autoSpaceDE/>
              <w:autoSpaceDN/>
              <w:adjustRightInd/>
              <w:spacing w:after="120"/>
              <w:ind w:left="720" w:firstLineChars="0"/>
              <w:textAlignment w:val="auto"/>
              <w:rPr>
                <w:b/>
                <w:bCs/>
                <w:color w:val="auto"/>
                <w:szCs w:val="24"/>
              </w:rPr>
            </w:pPr>
            <w:r>
              <w:rPr>
                <w:color w:val="auto"/>
              </w:rPr>
              <w:t>The UE is able to perform RLM and cell specific BFD measurements on two overlapping RSs from different directions simultaneously under certain conditions.</w:t>
            </w:r>
          </w:p>
          <w:p>
            <w:pPr>
              <w:rPr>
                <w:b/>
                <w:bCs/>
                <w:i/>
                <w:iCs/>
                <w:color w:val="auto"/>
                <w:lang w:eastAsia="ko-KR"/>
              </w:rPr>
            </w:pPr>
            <w:r>
              <w:rPr>
                <w:b/>
                <w:color w:val="auto"/>
                <w:u w:val="single"/>
                <w:lang w:eastAsia="ko-KR"/>
              </w:rPr>
              <w:t>Issue 2-1-4: Evaluation period requirements</w:t>
            </w:r>
          </w:p>
          <w:p>
            <w:pPr>
              <w:pStyle w:val="28"/>
              <w:numPr>
                <w:ilvl w:val="0"/>
                <w:numId w:val="3"/>
              </w:numPr>
              <w:overflowPunct/>
              <w:autoSpaceDE/>
              <w:autoSpaceDN/>
              <w:adjustRightInd/>
              <w:spacing w:after="120"/>
              <w:ind w:left="720" w:firstLineChars="0"/>
              <w:textAlignment w:val="auto"/>
              <w:rPr>
                <w:color w:val="auto"/>
              </w:rPr>
            </w:pPr>
            <w:r>
              <w:rPr>
                <w:color w:val="auto"/>
              </w:rPr>
              <w:t>For CSI-RS based RLM/BFD/CBD measurements in FR2, the existing evaluation periods are reused under multi-Rx operations.</w:t>
            </w:r>
          </w:p>
          <w:p>
            <w:pPr>
              <w:pStyle w:val="28"/>
              <w:numPr>
                <w:ilvl w:val="0"/>
                <w:numId w:val="3"/>
              </w:numPr>
              <w:overflowPunct/>
              <w:autoSpaceDE/>
              <w:autoSpaceDN/>
              <w:adjustRightInd/>
              <w:spacing w:after="120"/>
              <w:ind w:left="720" w:firstLineChars="0"/>
              <w:textAlignment w:val="auto"/>
              <w:rPr>
                <w:b/>
                <w:bCs/>
                <w:color w:val="auto"/>
                <w:szCs w:val="24"/>
              </w:rPr>
            </w:pPr>
            <w:r>
              <w:rPr>
                <w:color w:val="auto"/>
              </w:rPr>
              <w:t>For UE capable of faster beam sweeping, the reduced beam sweeping factor can be applied for defining the evaluation period of SSB based RLM/BFD measurements in FR2.</w:t>
            </w:r>
          </w:p>
          <w:p>
            <w:pPr>
              <w:rPr>
                <w:b/>
                <w:bCs/>
                <w:i/>
                <w:iCs/>
                <w:lang w:eastAsia="ko-KR"/>
              </w:rPr>
            </w:pPr>
            <w:r>
              <w:rPr>
                <w:b/>
                <w:color w:val="000000" w:themeColor="text1"/>
                <w:u w:val="single"/>
                <w:lang w:eastAsia="ko-KR"/>
                <w14:textFill>
                  <w14:solidFill>
                    <w14:schemeClr w14:val="tx1"/>
                  </w14:solidFill>
                </w14:textFill>
              </w:rPr>
              <w:t>Issue 2-1-5: Other aspects of RLM and cell specific BFD/CBD requirements for multi-Rx</w:t>
            </w:r>
          </w:p>
          <w:p>
            <w:pPr>
              <w:pStyle w:val="28"/>
              <w:numPr>
                <w:ilvl w:val="0"/>
                <w:numId w:val="3"/>
              </w:numPr>
              <w:overflowPunct/>
              <w:autoSpaceDE/>
              <w:autoSpaceDN/>
              <w:adjustRightInd/>
              <w:spacing w:after="120"/>
              <w:ind w:left="72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For s-DCI scenario, reuse RLM requirements in section 8.1 of TS 38.133.</w:t>
            </w:r>
          </w:p>
          <w:p>
            <w:pPr>
              <w:pStyle w:val="28"/>
              <w:numPr>
                <w:ilvl w:val="0"/>
                <w:numId w:val="3"/>
              </w:numPr>
              <w:overflowPunct/>
              <w:autoSpaceDE/>
              <w:autoSpaceDN/>
              <w:adjustRightInd/>
              <w:spacing w:after="120"/>
              <w:ind w:left="72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For s-DCI scenario, reuse BFD/CBD requirements in section 8.5 of TS.38.133.</w:t>
            </w:r>
          </w:p>
          <w:p>
            <w:pPr>
              <w:pStyle w:val="28"/>
              <w:numPr>
                <w:ilvl w:val="0"/>
                <w:numId w:val="3"/>
              </w:numPr>
              <w:overflowPunct/>
              <w:autoSpaceDE/>
              <w:autoSpaceDN/>
              <w:adjustRightInd/>
              <w:spacing w:after="120"/>
              <w:ind w:left="72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FFS: For m-DCI scenario, reuse RLM requirements in section 8.1 of TS 38.133, with the clarification that in multi-TRP scenario, the RLM-RS for evaluating out-of-sync and in-sync may originate from two different TRPs.</w:t>
            </w:r>
          </w:p>
          <w:p>
            <w:pPr>
              <w:pStyle w:val="28"/>
              <w:numPr>
                <w:ilvl w:val="0"/>
                <w:numId w:val="3"/>
              </w:numPr>
              <w:overflowPunct/>
              <w:autoSpaceDE/>
              <w:autoSpaceDN/>
              <w:adjustRightInd/>
              <w:spacing w:after="120"/>
              <w:ind w:left="72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For m-DCI scenario, reuse link recovery requirements in section 8.18 of TS 38.133.</w:t>
            </w:r>
          </w:p>
          <w:p>
            <w:pPr>
              <w:pStyle w:val="3"/>
              <w:numPr>
                <w:ilvl w:val="0"/>
                <w:numId w:val="0"/>
              </w:numPr>
              <w:ind w:leftChars="0"/>
              <w:rPr>
                <w:sz w:val="24"/>
                <w:szCs w:val="24"/>
                <w:lang w:val="en-US"/>
              </w:rPr>
            </w:pPr>
            <w:r>
              <w:rPr>
                <w:sz w:val="24"/>
                <w:szCs w:val="24"/>
                <w:lang w:val="en-US"/>
              </w:rPr>
              <w:t>Sub-topic 2-2: TRP specific RLM and BFD/CBD</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2-2-1: TRP specific BFD requirements enhancement for multi-Rx</w:t>
            </w:r>
          </w:p>
          <w:p>
            <w:pPr>
              <w:rPr>
                <w:color w:val="auto"/>
              </w:rPr>
            </w:pPr>
            <w:r>
              <w:rPr>
                <w:color w:val="auto"/>
              </w:rPr>
              <w:t>&lt;Online agreement&gt;</w:t>
            </w:r>
          </w:p>
          <w:p>
            <w:pPr>
              <w:pStyle w:val="28"/>
              <w:numPr>
                <w:ilvl w:val="0"/>
                <w:numId w:val="6"/>
              </w:numPr>
              <w:spacing w:after="120" w:line="252" w:lineRule="auto"/>
              <w:ind w:left="644" w:firstLineChars="0"/>
              <w:textAlignment w:val="auto"/>
              <w:rPr>
                <w:bCs/>
              </w:rPr>
            </w:pPr>
            <w:r>
              <w:rPr>
                <w:bCs/>
              </w:rPr>
              <w:t>P</w:t>
            </w:r>
            <w:r>
              <w:rPr>
                <w:bCs/>
                <w:vertAlign w:val="subscript"/>
              </w:rPr>
              <w:t>TRP</w:t>
            </w:r>
            <w:r>
              <w:rPr>
                <w:bCs/>
              </w:rPr>
              <w:t>=1 for CSI-RS based TRP specific BFD requirements for multi-Rx operation under following conditions,</w:t>
            </w:r>
          </w:p>
          <w:p>
            <w:pPr>
              <w:pStyle w:val="28"/>
              <w:numPr>
                <w:ilvl w:val="1"/>
                <w:numId w:val="6"/>
              </w:numPr>
              <w:spacing w:after="120"/>
              <w:ind w:firstLineChars="0"/>
            </w:pPr>
            <w:r>
              <w:t>Both CSI-RS are not in any CSI-RS resource set with repetition ON</w:t>
            </w:r>
          </w:p>
          <w:p>
            <w:pPr>
              <w:pStyle w:val="28"/>
              <w:numPr>
                <w:ilvl w:val="1"/>
                <w:numId w:val="6"/>
              </w:numPr>
              <w:spacing w:after="120" w:line="252" w:lineRule="auto"/>
              <w:ind w:firstLineChars="0"/>
              <w:textAlignment w:val="auto"/>
              <w:rPr>
                <w:bCs/>
              </w:rPr>
            </w:pPr>
            <w:r>
              <w:rPr>
                <w:bCs/>
              </w:rPr>
              <w:t>UE is activated with multi-Rx operation</w:t>
            </w:r>
          </w:p>
          <w:p>
            <w:pPr>
              <w:pStyle w:val="28"/>
              <w:numPr>
                <w:ilvl w:val="1"/>
                <w:numId w:val="6"/>
              </w:numPr>
              <w:spacing w:after="120"/>
              <w:ind w:firstLineChars="0"/>
            </w:pPr>
            <w:r>
              <w:t>Resources of the active TCI states for the two PDCCHs or PDSCHs and one PDCCH and PDSCH have been reported via GBBR in a pair</w:t>
            </w:r>
          </w:p>
          <w:p>
            <w:pPr>
              <w:pStyle w:val="28"/>
              <w:numPr>
                <w:ilvl w:val="1"/>
                <w:numId w:val="6"/>
              </w:numPr>
              <w:spacing w:after="120"/>
              <w:ind w:firstLineChars="0"/>
            </w:pPr>
            <w:r>
              <w:t>Each CSI-RS has same QCL source as the active TCI state of the PDCCH/PDSCH [from the same TRP]</w:t>
            </w:r>
          </w:p>
          <w:p>
            <w:pPr>
              <w:pStyle w:val="28"/>
              <w:numPr>
                <w:ilvl w:val="1"/>
                <w:numId w:val="6"/>
              </w:numPr>
              <w:spacing w:after="120" w:line="252" w:lineRule="auto"/>
              <w:ind w:firstLineChars="0"/>
              <w:textAlignment w:val="auto"/>
              <w:rPr>
                <w:bCs/>
              </w:rPr>
            </w:pPr>
            <w:r>
              <w:rPr>
                <w:bCs/>
              </w:rPr>
              <w:t>The two CSI-RS resources in the two sets q ̅_0,0 and q ̅_0,1for beam failure detection is transmitted through different [TRPs or QCL sources] at the same time</w:t>
            </w:r>
          </w:p>
          <w:p>
            <w:pPr>
              <w:pStyle w:val="28"/>
              <w:numPr>
                <w:ilvl w:val="1"/>
                <w:numId w:val="6"/>
              </w:numPr>
              <w:spacing w:after="120"/>
              <w:ind w:firstLineChars="0"/>
            </w:pPr>
            <w:r>
              <w:t>[Both of the CSI-RSs and both of the PDCCH/PDSCHs are transmitted at the same time]</w:t>
            </w:r>
          </w:p>
          <w:p>
            <w:pPr>
              <w:pStyle w:val="28"/>
              <w:numPr>
                <w:ilvl w:val="1"/>
                <w:numId w:val="6"/>
              </w:numPr>
              <w:spacing w:after="120"/>
              <w:ind w:firstLineChars="0"/>
              <w:rPr>
                <w:color w:val="000000" w:themeColor="text1"/>
                <w:lang w:val="en-US"/>
                <w14:textFill>
                  <w14:solidFill>
                    <w14:schemeClr w14:val="tx1"/>
                  </w14:solidFill>
                </w14:textFill>
              </w:rPr>
            </w:pPr>
            <w:r>
              <w:t>Note: additional conditions are not precluded</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2-2-1a: TRP specific CBD requirements enhancement for multi-Rx</w:t>
            </w:r>
          </w:p>
          <w:p>
            <w:pPr>
              <w:pStyle w:val="28"/>
              <w:numPr>
                <w:ilvl w:val="0"/>
                <w:numId w:val="3"/>
              </w:numPr>
              <w:overflowPunct/>
              <w:autoSpaceDE/>
              <w:autoSpaceDN/>
              <w:adjustRightInd/>
              <w:spacing w:after="120"/>
              <w:ind w:left="72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TRP sharing factor for TRP specific CBD requirements for multi-Rx operation is not enhanced.</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2-2-2: Whether to enhance TRP specific BFD/CBD procedure</w:t>
            </w:r>
          </w:p>
          <w:p>
            <w:pPr>
              <w:pStyle w:val="28"/>
              <w:numPr>
                <w:ilvl w:val="0"/>
                <w:numId w:val="3"/>
              </w:numPr>
              <w:overflowPunct/>
              <w:autoSpaceDE/>
              <w:autoSpaceDN/>
              <w:adjustRightInd/>
              <w:spacing w:after="120"/>
              <w:ind w:left="720" w:firstLineChars="0"/>
              <w:textAlignment w:val="auto"/>
              <w:rPr>
                <w:rFonts w:hint="eastAsia" w:eastAsia="宋体"/>
                <w:color w:val="auto"/>
                <w:sz w:val="20"/>
                <w:szCs w:val="20"/>
                <w:vertAlign w:val="baseline"/>
                <w:lang w:val="en-US" w:eastAsia="zh-CN"/>
              </w:rPr>
            </w:pPr>
            <w:r>
              <w:rPr>
                <w:color w:val="000000" w:themeColor="text1"/>
                <w14:textFill>
                  <w14:solidFill>
                    <w14:schemeClr w14:val="tx1"/>
                  </w14:solidFill>
                </w14:textFill>
              </w:rPr>
              <w:t>For TRP specific link recovery, enhancement on BFD/CBD procedure and requirements is not considered in Rel-18.</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Regarding to the scheduling restriction and measurement restriction, similar analysis as that for L1-RSRP measurement, it can be shown in another paper </w:t>
      </w:r>
      <w:r>
        <w:rPr>
          <w:rFonts w:hint="eastAsia" w:eastAsia="宋体"/>
          <w:color w:val="auto"/>
          <w:sz w:val="20"/>
          <w:szCs w:val="20"/>
          <w:highlight w:val="none"/>
          <w:lang w:val="en-US" w:eastAsia="zh-CN"/>
        </w:rPr>
        <w:t>from us</w:t>
      </w:r>
      <w:r>
        <w:rPr>
          <w:rFonts w:hint="eastAsia" w:eastAsia="宋体"/>
          <w:color w:val="auto"/>
          <w:sz w:val="20"/>
          <w:szCs w:val="20"/>
          <w:lang w:val="en-US" w:eastAsia="zh-CN"/>
        </w:rPr>
        <w:t>, so not proceed here any more.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bidi w:val="0"/>
        <w:rPr>
          <w:rFonts w:hint="eastAsia"/>
          <w:lang w:val="en-US" w:eastAsia="zh-CN"/>
        </w:rPr>
      </w:pPr>
      <w:r>
        <w:rPr>
          <w:rFonts w:hint="eastAsia"/>
          <w:lang w:val="en-US" w:eastAsia="zh-CN"/>
        </w:rPr>
        <w:t>Regarding RLM/BFD/CBD, until last meeting, good progress have been achieved. We summarize the enhancement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1175"/>
        <w:gridCol w:w="2914"/>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tcPr>
          <w:p>
            <w:pPr>
              <w:bidi w:val="0"/>
              <w:jc w:val="center"/>
              <w:rPr>
                <w:rFonts w:hint="default"/>
                <w:sz w:val="15"/>
                <w:szCs w:val="15"/>
                <w:vertAlign w:val="baseline"/>
                <w:lang w:val="en-US" w:eastAsia="zh-CN"/>
              </w:rPr>
            </w:pPr>
            <w:r>
              <w:rPr>
                <w:rFonts w:hint="eastAsia"/>
                <w:sz w:val="15"/>
                <w:szCs w:val="15"/>
                <w:vertAlign w:val="baseline"/>
                <w:lang w:val="en-US" w:eastAsia="zh-CN"/>
              </w:rPr>
              <w:t>Type</w:t>
            </w:r>
          </w:p>
        </w:tc>
        <w:tc>
          <w:tcPr>
            <w:tcW w:w="1175" w:type="dxa"/>
          </w:tcPr>
          <w:p>
            <w:pPr>
              <w:bidi w:val="0"/>
              <w:jc w:val="center"/>
              <w:rPr>
                <w:rFonts w:hint="default"/>
                <w:sz w:val="15"/>
                <w:szCs w:val="15"/>
                <w:vertAlign w:val="baseline"/>
                <w:lang w:val="en-US" w:eastAsia="zh-CN"/>
              </w:rPr>
            </w:pPr>
            <w:r>
              <w:rPr>
                <w:rFonts w:hint="eastAsia"/>
                <w:sz w:val="15"/>
                <w:szCs w:val="15"/>
                <w:vertAlign w:val="baseline"/>
                <w:lang w:val="en-US" w:eastAsia="zh-CN"/>
              </w:rPr>
              <w:t>Legacy Rx beam sweeping</w:t>
            </w:r>
          </w:p>
        </w:tc>
        <w:tc>
          <w:tcPr>
            <w:tcW w:w="2914" w:type="dxa"/>
          </w:tcPr>
          <w:p>
            <w:pPr>
              <w:bidi w:val="0"/>
              <w:jc w:val="center"/>
              <w:rPr>
                <w:rFonts w:hint="default"/>
                <w:sz w:val="15"/>
                <w:szCs w:val="15"/>
                <w:vertAlign w:val="baseline"/>
                <w:lang w:val="en-US" w:eastAsia="zh-CN"/>
              </w:rPr>
            </w:pPr>
            <w:r>
              <w:rPr>
                <w:rFonts w:hint="eastAsia"/>
                <w:sz w:val="15"/>
                <w:szCs w:val="15"/>
                <w:vertAlign w:val="baseline"/>
                <w:lang w:val="en-US" w:eastAsia="zh-CN"/>
              </w:rPr>
              <w:t>Legacy P</w:t>
            </w:r>
            <w:r>
              <w:rPr>
                <w:rFonts w:hint="eastAsia"/>
                <w:sz w:val="10"/>
                <w:szCs w:val="10"/>
                <w:vertAlign w:val="baseline"/>
                <w:lang w:val="en-US" w:eastAsia="zh-CN"/>
              </w:rPr>
              <w:t>TRP</w:t>
            </w:r>
          </w:p>
        </w:tc>
        <w:tc>
          <w:tcPr>
            <w:tcW w:w="3217" w:type="dxa"/>
          </w:tcPr>
          <w:p>
            <w:pPr>
              <w:bidi w:val="0"/>
              <w:jc w:val="center"/>
              <w:rPr>
                <w:rFonts w:hint="default"/>
                <w:sz w:val="15"/>
                <w:szCs w:val="15"/>
                <w:vertAlign w:val="baseline"/>
                <w:lang w:val="en-US" w:eastAsia="zh-CN"/>
              </w:rPr>
            </w:pPr>
            <w:r>
              <w:rPr>
                <w:rFonts w:hint="eastAsia"/>
                <w:sz w:val="15"/>
                <w:szCs w:val="15"/>
                <w:vertAlign w:val="baseline"/>
                <w:lang w:val="en-US" w:eastAsia="zh-CN"/>
              </w:rPr>
              <w:t>Enhancements by Multi-Rx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RLM</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numPr>
                <w:ilvl w:val="0"/>
                <w:numId w:val="7"/>
              </w:numPr>
              <w:spacing w:after="0" w:line="240" w:lineRule="auto"/>
              <w:rPr>
                <w:rFonts w:hint="eastAsia" w:cs="Times New Roman"/>
                <w:sz w:val="15"/>
                <w:szCs w:val="15"/>
                <w:lang w:val="en-US" w:eastAsia="zh-CN" w:bidi="ar-SA"/>
              </w:rPr>
            </w:pPr>
            <w:r>
              <w:rPr>
                <w:rFonts w:hint="eastAsia" w:cs="Times New Roman"/>
                <w:sz w:val="15"/>
                <w:szCs w:val="15"/>
                <w:lang w:val="en-US" w:eastAsia="zh-CN" w:bidi="ar-SA"/>
              </w:rPr>
              <w:t>Apply faster beam sweeping</w:t>
            </w:r>
          </w:p>
          <w:p>
            <w:pPr>
              <w:numPr>
                <w:ilvl w:val="0"/>
                <w:numId w:val="7"/>
              </w:numPr>
              <w:spacing w:after="0" w:line="240" w:lineRule="auto"/>
              <w:ind w:left="0" w:leftChars="0" w:firstLine="0" w:firstLineChars="0"/>
              <w:rPr>
                <w:rFonts w:hint="default" w:cs="Times New Roman"/>
                <w:sz w:val="15"/>
                <w:szCs w:val="15"/>
                <w:lang w:val="en-US" w:eastAsia="zh-CN" w:bidi="ar-SA"/>
              </w:rPr>
            </w:pPr>
            <w:r>
              <w:rPr>
                <w:rFonts w:hint="eastAsia" w:cs="Times New Roman"/>
                <w:sz w:val="15"/>
                <w:szCs w:val="15"/>
                <w:lang w:val="en-US" w:eastAsia="zh-CN" w:bidi="ar-SA"/>
              </w:rPr>
              <w:t>Apple measurement restriction relaxation 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RLM</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numPr>
                <w:ilvl w:val="0"/>
                <w:numId w:val="8"/>
              </w:numPr>
              <w:spacing w:after="0" w:line="240" w:lineRule="auto"/>
              <w:rPr>
                <w:rFonts w:hint="default"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Apple measurement restriction relaxation 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BFD, cell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numPr>
                <w:ilvl w:val="0"/>
                <w:numId w:val="9"/>
              </w:num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Apply faster beam sweeping</w:t>
            </w:r>
          </w:p>
          <w:p>
            <w:pPr>
              <w:numPr>
                <w:ilvl w:val="0"/>
                <w:numId w:val="9"/>
              </w:num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Apple measurement restriction relaxation 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BFD, cell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numPr>
                <w:ilvl w:val="0"/>
                <w:numId w:val="10"/>
              </w:num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Apple measurement restriction relaxation 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 xml:space="preserve">SSB </w:t>
            </w:r>
            <w:r>
              <w:rPr>
                <w:rFonts w:hint="eastAsia" w:cs="Times New Roman"/>
                <w:sz w:val="15"/>
                <w:szCs w:val="15"/>
                <w:lang w:val="en-US" w:eastAsia="zh-CN"/>
              </w:rPr>
              <w:t>CBD</w:t>
            </w:r>
            <w:r>
              <w:rPr>
                <w:rFonts w:cs="Times New Roman"/>
                <w:sz w:val="15"/>
                <w:szCs w:val="15"/>
              </w:rPr>
              <w:t>, cell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 xml:space="preserve">CSI-RS </w:t>
            </w:r>
            <w:r>
              <w:rPr>
                <w:rFonts w:hint="eastAsia" w:cs="Times New Roman"/>
                <w:sz w:val="15"/>
                <w:szCs w:val="15"/>
                <w:lang w:val="en-US" w:eastAsia="zh-CN"/>
              </w:rPr>
              <w:t>CBD</w:t>
            </w:r>
            <w:r>
              <w:rPr>
                <w:rFonts w:cs="Times New Roman"/>
                <w:sz w:val="15"/>
                <w:szCs w:val="15"/>
              </w:rPr>
              <w:t>, cell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BFD, TRP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default" w:cs="Times New Roman"/>
                <w:sz w:val="15"/>
                <w:szCs w:val="15"/>
                <w:lang w:val="en-US"/>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BFD, TRP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2914"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3217" w:type="dxa"/>
            <w:vAlign w:val="top"/>
          </w:tcPr>
          <w:p>
            <w:pPr>
              <w:numPr>
                <w:ilvl w:val="0"/>
                <w:numId w:val="11"/>
              </w:numPr>
              <w:spacing w:after="0" w:line="240" w:lineRule="auto"/>
              <w:rPr>
                <w:rFonts w:hint="default" w:ascii="Times New Roman" w:hAnsi="Times New Roman" w:eastAsia="Times New Roman" w:cs="Times New Roman"/>
                <w:sz w:val="15"/>
                <w:szCs w:val="15"/>
                <w:lang w:val="en-US" w:eastAsia="zh-CN" w:bidi="ar-SA"/>
              </w:rPr>
            </w:pPr>
            <w:r>
              <w:rPr>
                <w:rFonts w:hint="eastAsia"/>
                <w:sz w:val="15"/>
                <w:szCs w:val="15"/>
                <w:vertAlign w:val="baseline"/>
                <w:lang w:val="en-US" w:eastAsia="zh-CN"/>
              </w:rPr>
              <w:t>P</w:t>
            </w:r>
            <w:r>
              <w:rPr>
                <w:rFonts w:hint="eastAsia"/>
                <w:sz w:val="10"/>
                <w:szCs w:val="10"/>
                <w:vertAlign w:val="baseline"/>
                <w:lang w:val="en-US" w:eastAsia="zh-CN"/>
              </w:rPr>
              <w:t>TRP</w:t>
            </w:r>
            <w:r>
              <w:rPr>
                <w:rFonts w:hint="eastAsia" w:eastAsia="宋体" w:cs="Times New Roman"/>
                <w:sz w:val="15"/>
                <w:szCs w:val="15"/>
                <w:lang w:val="en-US" w:eastAsia="zh-CN"/>
              </w:rPr>
              <w:t xml:space="preserve"> reduction when RSs overlapping </w:t>
            </w:r>
            <w:r>
              <w:rPr>
                <w:rFonts w:hint="eastAsia" w:cs="Times New Roman"/>
                <w:sz w:val="15"/>
                <w:szCs w:val="15"/>
                <w:lang w:val="en-US" w:eastAsia="zh-CN" w:bidi="ar-SA"/>
              </w:rPr>
              <w:t>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CBD, TRP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CBD, TRP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bl>
    <w:p>
      <w:pPr>
        <w:bidi w:val="0"/>
        <w:rPr>
          <w:rFonts w:hint="eastAsia"/>
          <w:lang w:val="en-US" w:eastAsia="zh-CN"/>
        </w:rPr>
      </w:pPr>
      <w:r>
        <w:rPr>
          <w:rFonts w:hint="eastAsia"/>
          <w:lang w:val="en-US" w:eastAsia="zh-CN"/>
        </w:rPr>
        <w:t>So only one remaining issue is left regarding the sDCI/mDCI:</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vertAlign w:val="baseline"/>
                <w:lang w:val="en-US" w:eastAsia="zh-CN"/>
              </w:rPr>
            </w:pPr>
            <w:r>
              <w:rPr>
                <w:b/>
                <w:color w:val="auto"/>
                <w:u w:val="single"/>
                <w:lang w:eastAsia="ko-KR"/>
              </w:rPr>
              <w:t>Other aspects of RLM and cell specific BFD/CBD requirements for multi-Rx</w:t>
            </w:r>
          </w:p>
          <w:p>
            <w:pPr>
              <w:pStyle w:val="28"/>
              <w:numPr>
                <w:ilvl w:val="0"/>
                <w:numId w:val="3"/>
              </w:numPr>
              <w:overflowPunct/>
              <w:autoSpaceDE/>
              <w:autoSpaceDN/>
              <w:adjustRightInd/>
              <w:spacing w:after="120"/>
              <w:ind w:left="720" w:firstLineChars="0"/>
              <w:textAlignment w:val="auto"/>
              <w:rPr>
                <w:rFonts w:hint="default"/>
                <w:vertAlign w:val="baseline"/>
                <w:lang w:val="en-US" w:eastAsia="zh-CN"/>
              </w:rPr>
            </w:pPr>
            <w:r>
              <w:rPr>
                <w:color w:val="auto"/>
              </w:rPr>
              <w:t>FFS: For m-DCI scenario, reuse RLM requirements in section 8.1 of TS 38.133, with the clarification that in multi-TRP scenario, the RLM-RS for evaluating out-of-sync and in-sync may originate from two different TRPs.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legacy R16/17, only cell-specific RLM is defined, no extension to TRP-specific RLM. So to our understanding, no matter sDCI or mDCI transmitted, only one RS set is configured for RLM for a cell. In the case of intra-cell mTRP, from the perspective of UE, each RS resource within the RS set for RLM transmitted from which TRP, it is transparent to UE, NW decides this. Normally for m-DCI scenario, for the sake of monitoring each TRPs within the cell considering, partial RS resources would be originated from TRP 0, and the rest RS resources would be originated from TRP 1. So that the link of both two TRPs can be monitored by the UE. Whereas there is not any relevant restriction captured in RAN1/2 spec. If the NW believes the link quality from each TRP to the UE are similar, or the link quality between one of the TRPs and the UE can be inferred though some other solutions, the case of originating all RLM-RSs from one of the TRPs is also possible. So we can leave the relationship between the RLM-RS resources and the multiple TRPs to NW decision. No need to give additional clarification or assumption in RAN4 spec.  </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1: For mDCI scenario of intra-cell mTRP, no need to give any clarification or assumption on whether the RLM-RS originated from two TRPs or not.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RLM, BFD/CBD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1: For mDCI scenario of intra-cell mTRP, no need to give any clarification or assumption on whether the RLM-RS originated from two TRPs or not.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2"/>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12"/>
        </w:numPr>
        <w:ind w:leftChars="0"/>
        <w:rPr>
          <w:rFonts w:hint="eastAsia"/>
          <w:color w:val="auto"/>
          <w:highlight w:val="none"/>
          <w:lang w:val="en-US" w:eastAsia="zh-CN"/>
        </w:rPr>
      </w:pPr>
      <w:r>
        <w:rPr>
          <w:rFonts w:hint="eastAsia"/>
          <w:color w:val="auto"/>
          <w:highlight w:val="none"/>
          <w:lang w:val="en-US" w:eastAsia="zh-CN"/>
        </w:rPr>
        <w:t xml:space="preserve">R4-2314477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0"/>
        </w:numPr>
        <w:snapToGrid w:val="0"/>
        <w:spacing w:before="120"/>
        <w:contextualSpacing w:val="0"/>
        <w:jc w:val="both"/>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ACB7DB4E"/>
    <w:multiLevelType w:val="singleLevel"/>
    <w:tmpl w:val="ACB7DB4E"/>
    <w:lvl w:ilvl="0" w:tentative="0">
      <w:start w:val="1"/>
      <w:numFmt w:val="decimal"/>
      <w:suff w:val="space"/>
      <w:lvlText w:val="%1)"/>
      <w:lvlJc w:val="left"/>
    </w:lvl>
  </w:abstractNum>
  <w:abstractNum w:abstractNumId="2">
    <w:nsid w:val="E5955D4D"/>
    <w:multiLevelType w:val="singleLevel"/>
    <w:tmpl w:val="E5955D4D"/>
    <w:lvl w:ilvl="0" w:tentative="0">
      <w:start w:val="1"/>
      <w:numFmt w:val="decimal"/>
      <w:suff w:val="space"/>
      <w:lvlText w:val="%1)"/>
      <w:lvlJc w:val="left"/>
    </w:lvl>
  </w:abstractNum>
  <w:abstractNum w:abstractNumId="3">
    <w:nsid w:val="04494208"/>
    <w:multiLevelType w:val="singleLevel"/>
    <w:tmpl w:val="04494208"/>
    <w:lvl w:ilvl="0" w:tentative="0">
      <w:start w:val="1"/>
      <w:numFmt w:val="decimal"/>
      <w:suff w:val="space"/>
      <w:lvlText w:val="%1)"/>
      <w:lvlJc w:val="left"/>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21558BE"/>
    <w:multiLevelType w:val="singleLevel"/>
    <w:tmpl w:val="221558BE"/>
    <w:lvl w:ilvl="0" w:tentative="0">
      <w:start w:val="1"/>
      <w:numFmt w:val="decimal"/>
      <w:suff w:val="space"/>
      <w:lvlText w:val="%1)"/>
      <w:lvlJc w:val="left"/>
    </w:lvl>
  </w:abstractNum>
  <w:abstractNum w:abstractNumId="6">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7">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2C0F5E"/>
    <w:multiLevelType w:val="singleLevel"/>
    <w:tmpl w:val="582C0F5E"/>
    <w:lvl w:ilvl="0" w:tentative="0">
      <w:start w:val="1"/>
      <w:numFmt w:val="decimal"/>
      <w:suff w:val="space"/>
      <w:lvlText w:val="%1)"/>
      <w:lvlJc w:val="left"/>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1"/>
  </w:num>
  <w:num w:numId="2">
    <w:abstractNumId w:val="7"/>
  </w:num>
  <w:num w:numId="3">
    <w:abstractNumId w:val="9"/>
  </w:num>
  <w:num w:numId="4">
    <w:abstractNumId w:val="4"/>
  </w:num>
  <w:num w:numId="5">
    <w:abstractNumId w:val="6"/>
  </w:num>
  <w:num w:numId="6">
    <w:abstractNumId w:val="10"/>
  </w:num>
  <w:num w:numId="7">
    <w:abstractNumId w:val="3"/>
  </w:num>
  <w:num w:numId="8">
    <w:abstractNumId w:val="5"/>
  </w:num>
  <w:num w:numId="9">
    <w:abstractNumId w:val="1"/>
  </w:num>
  <w:num w:numId="10">
    <w:abstractNumId w:val="8"/>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AB1C95"/>
    <w:rsid w:val="01F87456"/>
    <w:rsid w:val="02122247"/>
    <w:rsid w:val="02150C3F"/>
    <w:rsid w:val="022C3A09"/>
    <w:rsid w:val="028B6A1D"/>
    <w:rsid w:val="028F1C3E"/>
    <w:rsid w:val="037D0CB3"/>
    <w:rsid w:val="03AB21AA"/>
    <w:rsid w:val="03D4720A"/>
    <w:rsid w:val="03E04DEA"/>
    <w:rsid w:val="04151694"/>
    <w:rsid w:val="04654053"/>
    <w:rsid w:val="04793516"/>
    <w:rsid w:val="047A3CFF"/>
    <w:rsid w:val="04885243"/>
    <w:rsid w:val="05317828"/>
    <w:rsid w:val="05477E90"/>
    <w:rsid w:val="059B5F9B"/>
    <w:rsid w:val="05BB5AB9"/>
    <w:rsid w:val="05C42923"/>
    <w:rsid w:val="05F562DB"/>
    <w:rsid w:val="0611163E"/>
    <w:rsid w:val="064D7C1A"/>
    <w:rsid w:val="068411C2"/>
    <w:rsid w:val="06963BA6"/>
    <w:rsid w:val="06965F3C"/>
    <w:rsid w:val="07CD3CDD"/>
    <w:rsid w:val="084B363C"/>
    <w:rsid w:val="0855671D"/>
    <w:rsid w:val="089009EB"/>
    <w:rsid w:val="09716BCA"/>
    <w:rsid w:val="098C1CEA"/>
    <w:rsid w:val="09902DFD"/>
    <w:rsid w:val="09D64B23"/>
    <w:rsid w:val="09E644B8"/>
    <w:rsid w:val="0B12013A"/>
    <w:rsid w:val="0B180D3D"/>
    <w:rsid w:val="0B1C5C6A"/>
    <w:rsid w:val="0B243EFB"/>
    <w:rsid w:val="0B3D3C2F"/>
    <w:rsid w:val="0B5D15B4"/>
    <w:rsid w:val="0B635839"/>
    <w:rsid w:val="0BAC06FA"/>
    <w:rsid w:val="0BB0429A"/>
    <w:rsid w:val="0BFF5FC6"/>
    <w:rsid w:val="0C276675"/>
    <w:rsid w:val="0C394019"/>
    <w:rsid w:val="0C5D15E1"/>
    <w:rsid w:val="0D2538B5"/>
    <w:rsid w:val="0EC91588"/>
    <w:rsid w:val="0F6C0B73"/>
    <w:rsid w:val="0F8009F9"/>
    <w:rsid w:val="1093739F"/>
    <w:rsid w:val="10997F43"/>
    <w:rsid w:val="10DE7BAE"/>
    <w:rsid w:val="11023BFD"/>
    <w:rsid w:val="110404BB"/>
    <w:rsid w:val="111C20F6"/>
    <w:rsid w:val="11ED345F"/>
    <w:rsid w:val="11FC305B"/>
    <w:rsid w:val="120774A3"/>
    <w:rsid w:val="12580C13"/>
    <w:rsid w:val="130B3696"/>
    <w:rsid w:val="14006D19"/>
    <w:rsid w:val="1414436B"/>
    <w:rsid w:val="1481754F"/>
    <w:rsid w:val="148F5721"/>
    <w:rsid w:val="14AC57CD"/>
    <w:rsid w:val="14B14D17"/>
    <w:rsid w:val="15E1212F"/>
    <w:rsid w:val="15ED3E9B"/>
    <w:rsid w:val="15FD475B"/>
    <w:rsid w:val="164514BE"/>
    <w:rsid w:val="170F06AA"/>
    <w:rsid w:val="17225508"/>
    <w:rsid w:val="176C2D6D"/>
    <w:rsid w:val="180A6E32"/>
    <w:rsid w:val="183F2CD2"/>
    <w:rsid w:val="1856323E"/>
    <w:rsid w:val="18AF55E3"/>
    <w:rsid w:val="18B1519A"/>
    <w:rsid w:val="18CD0507"/>
    <w:rsid w:val="195D7D48"/>
    <w:rsid w:val="19852D03"/>
    <w:rsid w:val="19915A0D"/>
    <w:rsid w:val="19ED20B7"/>
    <w:rsid w:val="1A6F1A83"/>
    <w:rsid w:val="1AD01A1B"/>
    <w:rsid w:val="1B4C5221"/>
    <w:rsid w:val="1B61065A"/>
    <w:rsid w:val="1BBF3927"/>
    <w:rsid w:val="1C177B08"/>
    <w:rsid w:val="1C9001C6"/>
    <w:rsid w:val="1CBA2101"/>
    <w:rsid w:val="1D0573D7"/>
    <w:rsid w:val="1D153DC4"/>
    <w:rsid w:val="1D223E0B"/>
    <w:rsid w:val="1D3A54CD"/>
    <w:rsid w:val="1DB321FB"/>
    <w:rsid w:val="1DF33EB1"/>
    <w:rsid w:val="1E132F88"/>
    <w:rsid w:val="1E2867E9"/>
    <w:rsid w:val="1E853F6F"/>
    <w:rsid w:val="1E9C7BCC"/>
    <w:rsid w:val="1EC8648D"/>
    <w:rsid w:val="1ECC1E3C"/>
    <w:rsid w:val="1F056338"/>
    <w:rsid w:val="1FAE57D9"/>
    <w:rsid w:val="1FFD4083"/>
    <w:rsid w:val="20122D1B"/>
    <w:rsid w:val="202F3D4C"/>
    <w:rsid w:val="20E2786E"/>
    <w:rsid w:val="21014C39"/>
    <w:rsid w:val="21045DF0"/>
    <w:rsid w:val="21244EB1"/>
    <w:rsid w:val="213964D8"/>
    <w:rsid w:val="21595D04"/>
    <w:rsid w:val="21835807"/>
    <w:rsid w:val="21F13629"/>
    <w:rsid w:val="2305377E"/>
    <w:rsid w:val="23184B10"/>
    <w:rsid w:val="231A76D5"/>
    <w:rsid w:val="23BE460D"/>
    <w:rsid w:val="24122135"/>
    <w:rsid w:val="24D4257E"/>
    <w:rsid w:val="24F5519F"/>
    <w:rsid w:val="2572202B"/>
    <w:rsid w:val="25AE612B"/>
    <w:rsid w:val="2605683C"/>
    <w:rsid w:val="265F2C81"/>
    <w:rsid w:val="26661176"/>
    <w:rsid w:val="26BB1419"/>
    <w:rsid w:val="27315D1D"/>
    <w:rsid w:val="27B748AA"/>
    <w:rsid w:val="27CB4CB9"/>
    <w:rsid w:val="27CC4452"/>
    <w:rsid w:val="281C2F58"/>
    <w:rsid w:val="292D5BF2"/>
    <w:rsid w:val="292F6239"/>
    <w:rsid w:val="29642C4B"/>
    <w:rsid w:val="29A66B9A"/>
    <w:rsid w:val="29C910E9"/>
    <w:rsid w:val="2A34628C"/>
    <w:rsid w:val="2A724D05"/>
    <w:rsid w:val="2A7E505C"/>
    <w:rsid w:val="2AC85686"/>
    <w:rsid w:val="2AD04B5F"/>
    <w:rsid w:val="2B39549B"/>
    <w:rsid w:val="2BC05B2C"/>
    <w:rsid w:val="2BD617C5"/>
    <w:rsid w:val="2C112837"/>
    <w:rsid w:val="2C360608"/>
    <w:rsid w:val="2D452F54"/>
    <w:rsid w:val="2E014790"/>
    <w:rsid w:val="2EAE66A3"/>
    <w:rsid w:val="2EE77680"/>
    <w:rsid w:val="2F2F0FC8"/>
    <w:rsid w:val="2F591020"/>
    <w:rsid w:val="2F8E63A4"/>
    <w:rsid w:val="301C6BB6"/>
    <w:rsid w:val="30723652"/>
    <w:rsid w:val="30766FB2"/>
    <w:rsid w:val="319708F2"/>
    <w:rsid w:val="31B14C9E"/>
    <w:rsid w:val="31FE2981"/>
    <w:rsid w:val="325F683F"/>
    <w:rsid w:val="33C522D7"/>
    <w:rsid w:val="33F228A5"/>
    <w:rsid w:val="347C19A0"/>
    <w:rsid w:val="34807672"/>
    <w:rsid w:val="351B1E30"/>
    <w:rsid w:val="3584768A"/>
    <w:rsid w:val="358E5935"/>
    <w:rsid w:val="35B06C6A"/>
    <w:rsid w:val="36941AA2"/>
    <w:rsid w:val="36D37423"/>
    <w:rsid w:val="37323407"/>
    <w:rsid w:val="3792754D"/>
    <w:rsid w:val="379D23F9"/>
    <w:rsid w:val="37B3111D"/>
    <w:rsid w:val="37E74183"/>
    <w:rsid w:val="3A185287"/>
    <w:rsid w:val="3A1F46B8"/>
    <w:rsid w:val="3A692CD0"/>
    <w:rsid w:val="3AD96376"/>
    <w:rsid w:val="3B0B5FA6"/>
    <w:rsid w:val="3B1210C9"/>
    <w:rsid w:val="3B270929"/>
    <w:rsid w:val="3B3D5571"/>
    <w:rsid w:val="3B5D276F"/>
    <w:rsid w:val="3B673620"/>
    <w:rsid w:val="3B9A1F29"/>
    <w:rsid w:val="3C6E1F42"/>
    <w:rsid w:val="3CB972C3"/>
    <w:rsid w:val="3CE4646B"/>
    <w:rsid w:val="3D5E7AA8"/>
    <w:rsid w:val="3D6F2596"/>
    <w:rsid w:val="3F5E503E"/>
    <w:rsid w:val="3F62033F"/>
    <w:rsid w:val="401A457A"/>
    <w:rsid w:val="405F175E"/>
    <w:rsid w:val="40737877"/>
    <w:rsid w:val="40A811A8"/>
    <w:rsid w:val="40C765F3"/>
    <w:rsid w:val="41C755BE"/>
    <w:rsid w:val="42424160"/>
    <w:rsid w:val="42B16B47"/>
    <w:rsid w:val="42EA1DDB"/>
    <w:rsid w:val="42F869D2"/>
    <w:rsid w:val="43553536"/>
    <w:rsid w:val="444E111A"/>
    <w:rsid w:val="44972678"/>
    <w:rsid w:val="44C465F8"/>
    <w:rsid w:val="451632B9"/>
    <w:rsid w:val="45906394"/>
    <w:rsid w:val="45D40A2F"/>
    <w:rsid w:val="45F60A50"/>
    <w:rsid w:val="46142D0C"/>
    <w:rsid w:val="463A5AC1"/>
    <w:rsid w:val="46970A81"/>
    <w:rsid w:val="46B036BF"/>
    <w:rsid w:val="47282363"/>
    <w:rsid w:val="476B3528"/>
    <w:rsid w:val="47C726B0"/>
    <w:rsid w:val="490A77CA"/>
    <w:rsid w:val="49DC4EAC"/>
    <w:rsid w:val="49E55BC5"/>
    <w:rsid w:val="4AAF3847"/>
    <w:rsid w:val="4AFE1D19"/>
    <w:rsid w:val="4C1C63D6"/>
    <w:rsid w:val="4C864A35"/>
    <w:rsid w:val="4E015C76"/>
    <w:rsid w:val="4E310026"/>
    <w:rsid w:val="4E3448DA"/>
    <w:rsid w:val="4E4A2325"/>
    <w:rsid w:val="4E702749"/>
    <w:rsid w:val="4EC85323"/>
    <w:rsid w:val="4EDB3464"/>
    <w:rsid w:val="4FD47992"/>
    <w:rsid w:val="501A6C55"/>
    <w:rsid w:val="51234069"/>
    <w:rsid w:val="51B14BED"/>
    <w:rsid w:val="52123F2A"/>
    <w:rsid w:val="52526454"/>
    <w:rsid w:val="525C1CEF"/>
    <w:rsid w:val="528B5767"/>
    <w:rsid w:val="52A77D4F"/>
    <w:rsid w:val="52D33625"/>
    <w:rsid w:val="52FD1C01"/>
    <w:rsid w:val="52FD33B4"/>
    <w:rsid w:val="536E37BE"/>
    <w:rsid w:val="5372021A"/>
    <w:rsid w:val="53A3105E"/>
    <w:rsid w:val="53C64B93"/>
    <w:rsid w:val="548A6C60"/>
    <w:rsid w:val="54E07F19"/>
    <w:rsid w:val="55570903"/>
    <w:rsid w:val="55B1164D"/>
    <w:rsid w:val="55B4735E"/>
    <w:rsid w:val="55BB221D"/>
    <w:rsid w:val="55DB1478"/>
    <w:rsid w:val="56371459"/>
    <w:rsid w:val="56484633"/>
    <w:rsid w:val="56C72241"/>
    <w:rsid w:val="574B3EB2"/>
    <w:rsid w:val="57995B9F"/>
    <w:rsid w:val="58D0053D"/>
    <w:rsid w:val="59064002"/>
    <w:rsid w:val="595006D6"/>
    <w:rsid w:val="598C40A0"/>
    <w:rsid w:val="59B61150"/>
    <w:rsid w:val="59DA647E"/>
    <w:rsid w:val="5A556E1A"/>
    <w:rsid w:val="5C1166E3"/>
    <w:rsid w:val="5C9303D3"/>
    <w:rsid w:val="5E2864D0"/>
    <w:rsid w:val="5E494511"/>
    <w:rsid w:val="5E7C620B"/>
    <w:rsid w:val="5EB44FC0"/>
    <w:rsid w:val="5EB81F13"/>
    <w:rsid w:val="5EDA64BC"/>
    <w:rsid w:val="5FBA395F"/>
    <w:rsid w:val="60B92183"/>
    <w:rsid w:val="60EC2CBA"/>
    <w:rsid w:val="61333986"/>
    <w:rsid w:val="61661B78"/>
    <w:rsid w:val="61CC2D28"/>
    <w:rsid w:val="62966A9E"/>
    <w:rsid w:val="62DE3B93"/>
    <w:rsid w:val="630C63B9"/>
    <w:rsid w:val="63454F29"/>
    <w:rsid w:val="635902CD"/>
    <w:rsid w:val="642A3E76"/>
    <w:rsid w:val="645E1DDB"/>
    <w:rsid w:val="64706BBE"/>
    <w:rsid w:val="64994B22"/>
    <w:rsid w:val="64F2095B"/>
    <w:rsid w:val="65267327"/>
    <w:rsid w:val="658E7A29"/>
    <w:rsid w:val="65D63F94"/>
    <w:rsid w:val="66036AF7"/>
    <w:rsid w:val="67A858DB"/>
    <w:rsid w:val="67FE4166"/>
    <w:rsid w:val="68AD2162"/>
    <w:rsid w:val="68C401C3"/>
    <w:rsid w:val="69045D7F"/>
    <w:rsid w:val="693027BF"/>
    <w:rsid w:val="6968769B"/>
    <w:rsid w:val="69831B57"/>
    <w:rsid w:val="69A833BD"/>
    <w:rsid w:val="69FB3F8F"/>
    <w:rsid w:val="6A2764B6"/>
    <w:rsid w:val="6A5D78D5"/>
    <w:rsid w:val="6A85354A"/>
    <w:rsid w:val="6C8E0C06"/>
    <w:rsid w:val="6D566F0F"/>
    <w:rsid w:val="6D836F72"/>
    <w:rsid w:val="6DC2026F"/>
    <w:rsid w:val="6DDE3DAF"/>
    <w:rsid w:val="6E281030"/>
    <w:rsid w:val="6E2C7D5B"/>
    <w:rsid w:val="6E3241BE"/>
    <w:rsid w:val="6EB0655E"/>
    <w:rsid w:val="6EB97A9D"/>
    <w:rsid w:val="6EF10A90"/>
    <w:rsid w:val="6EF62474"/>
    <w:rsid w:val="6FD45BF8"/>
    <w:rsid w:val="6FFF1868"/>
    <w:rsid w:val="70332195"/>
    <w:rsid w:val="71507435"/>
    <w:rsid w:val="715F4C2D"/>
    <w:rsid w:val="721C3FA1"/>
    <w:rsid w:val="722F78FB"/>
    <w:rsid w:val="723D67C5"/>
    <w:rsid w:val="7250627B"/>
    <w:rsid w:val="72BC50C5"/>
    <w:rsid w:val="72BF60CA"/>
    <w:rsid w:val="72F41282"/>
    <w:rsid w:val="733D0D32"/>
    <w:rsid w:val="73D411F1"/>
    <w:rsid w:val="74165422"/>
    <w:rsid w:val="74BE645E"/>
    <w:rsid w:val="753811DE"/>
    <w:rsid w:val="7566040A"/>
    <w:rsid w:val="757733D9"/>
    <w:rsid w:val="75A7114C"/>
    <w:rsid w:val="75BE67D4"/>
    <w:rsid w:val="75C2004C"/>
    <w:rsid w:val="75C759C1"/>
    <w:rsid w:val="760F5DAE"/>
    <w:rsid w:val="762D64F3"/>
    <w:rsid w:val="767E7EFF"/>
    <w:rsid w:val="769550C6"/>
    <w:rsid w:val="76FA1DD9"/>
    <w:rsid w:val="775B4604"/>
    <w:rsid w:val="77C067C3"/>
    <w:rsid w:val="77EA64D7"/>
    <w:rsid w:val="78911E31"/>
    <w:rsid w:val="7922350F"/>
    <w:rsid w:val="792B5470"/>
    <w:rsid w:val="79762E65"/>
    <w:rsid w:val="79C637D8"/>
    <w:rsid w:val="79F762D6"/>
    <w:rsid w:val="7A9367CB"/>
    <w:rsid w:val="7AA10DE7"/>
    <w:rsid w:val="7AC34BA7"/>
    <w:rsid w:val="7AF22571"/>
    <w:rsid w:val="7B69224B"/>
    <w:rsid w:val="7BE80F25"/>
    <w:rsid w:val="7C1C35A7"/>
    <w:rsid w:val="7C45431D"/>
    <w:rsid w:val="7C91731B"/>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2023-09-27T14:17:31Z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EAF17918DD704348B61385A92D55832E</vt:lpwstr>
  </property>
</Properties>
</file>